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FCC5" w14:textId="77777777" w:rsidR="00CD2B64" w:rsidRDefault="00C5614D">
      <w:pPr>
        <w:shd w:val="clear" w:color="auto" w:fill="43729E"/>
        <w:spacing w:after="252" w:line="259" w:lineRule="auto"/>
        <w:ind w:left="16" w:right="1"/>
        <w:jc w:val="center"/>
      </w:pPr>
      <w:r>
        <w:rPr>
          <w:b/>
          <w:color w:val="FFFFFF"/>
          <w:sz w:val="28"/>
        </w:rPr>
        <w:t xml:space="preserve">Syllabus </w:t>
      </w:r>
      <w:r>
        <w:t xml:space="preserve"> </w:t>
      </w:r>
    </w:p>
    <w:p w14:paraId="7A43D479" w14:textId="77777777" w:rsidR="00CD2B64" w:rsidRDefault="00C5614D">
      <w:pPr>
        <w:shd w:val="clear" w:color="auto" w:fill="43729E"/>
        <w:spacing w:after="0" w:line="259" w:lineRule="auto"/>
        <w:ind w:left="16" w:right="1"/>
        <w:jc w:val="center"/>
      </w:pPr>
      <w:r>
        <w:rPr>
          <w:b/>
          <w:color w:val="FFFFFF"/>
          <w:sz w:val="28"/>
        </w:rPr>
        <w:t xml:space="preserve">SURV 750 Step by Step in Survey Weighting </w:t>
      </w:r>
      <w:r>
        <w:t xml:space="preserve"> </w:t>
      </w:r>
    </w:p>
    <w:p w14:paraId="173B2E08" w14:textId="77777777" w:rsidR="00CD2B64" w:rsidRDefault="00C5614D">
      <w:pPr>
        <w:shd w:val="clear" w:color="auto" w:fill="43729E"/>
        <w:spacing w:after="208" w:line="265" w:lineRule="auto"/>
        <w:ind w:left="16" w:right="1"/>
        <w:jc w:val="center"/>
      </w:pPr>
      <w:r>
        <w:rPr>
          <w:b/>
          <w:color w:val="FFFFFF"/>
        </w:rPr>
        <w:t>1 credit/2 ECTS</w:t>
      </w:r>
      <w:r>
        <w:rPr>
          <w:b/>
          <w:color w:val="FFFFFF"/>
          <w:sz w:val="28"/>
        </w:rPr>
        <w:t xml:space="preserve"> </w:t>
      </w:r>
      <w:r>
        <w:t xml:space="preserve"> </w:t>
      </w:r>
    </w:p>
    <w:p w14:paraId="546196FC" w14:textId="77777777" w:rsidR="00CD2B64" w:rsidRDefault="00C5614D">
      <w:pPr>
        <w:shd w:val="clear" w:color="auto" w:fill="43729E"/>
        <w:spacing w:after="0" w:line="265" w:lineRule="auto"/>
        <w:ind w:left="16" w:right="1"/>
        <w:jc w:val="center"/>
      </w:pPr>
      <w:r>
        <w:rPr>
          <w:b/>
          <w:color w:val="FFFFFF"/>
        </w:rPr>
        <w:t xml:space="preserve">Anna-Carolina Haensch </w:t>
      </w:r>
      <w:r>
        <w:t xml:space="preserve"> </w:t>
      </w:r>
    </w:p>
    <w:p w14:paraId="3EEA3696" w14:textId="77777777" w:rsidR="00CD2B64" w:rsidRDefault="00C5614D">
      <w:pPr>
        <w:shd w:val="clear" w:color="auto" w:fill="43729E"/>
        <w:spacing w:after="279" w:line="265" w:lineRule="auto"/>
        <w:ind w:left="16" w:right="1"/>
        <w:jc w:val="center"/>
      </w:pPr>
      <w:r>
        <w:rPr>
          <w:b/>
          <w:color w:val="FFFFFF"/>
        </w:rPr>
        <w:t xml:space="preserve">Video lecture by Richard Valliant </w:t>
      </w:r>
      <w:r>
        <w:t xml:space="preserve"> </w:t>
      </w:r>
    </w:p>
    <w:p w14:paraId="3A3CE7B1" w14:textId="77777777" w:rsidR="00CD2B64" w:rsidRDefault="00C5614D">
      <w:pPr>
        <w:shd w:val="clear" w:color="auto" w:fill="43729E"/>
        <w:spacing w:after="814" w:line="265" w:lineRule="auto"/>
        <w:ind w:left="16" w:right="1"/>
        <w:jc w:val="center"/>
      </w:pPr>
      <w:r>
        <w:rPr>
          <w:b/>
          <w:color w:val="FFFFFF"/>
        </w:rPr>
        <w:t xml:space="preserve">April 17 – May 8, 2026 </w:t>
      </w:r>
    </w:p>
    <w:p w14:paraId="4D914AEA" w14:textId="77777777" w:rsidR="00CD2B64" w:rsidRDefault="00C5614D">
      <w:pPr>
        <w:pStyle w:val="Heading1"/>
        <w:ind w:left="19"/>
      </w:pPr>
      <w:r>
        <w:t xml:space="preserve">Short Course Description  </w:t>
      </w:r>
    </w:p>
    <w:p w14:paraId="59F3D623" w14:textId="77777777" w:rsidR="00CD2B64" w:rsidRDefault="00C5614D">
      <w:pPr>
        <w:spacing w:after="531"/>
      </w:pPr>
      <w:r>
        <w:t xml:space="preserve">This course is a statistical methods class combining hands-on applications and general review of the theory for survey weighting.    </w:t>
      </w:r>
    </w:p>
    <w:p w14:paraId="7A6AE277" w14:textId="77777777" w:rsidR="00CD2B64" w:rsidRDefault="00C5614D">
      <w:pPr>
        <w:pStyle w:val="Heading1"/>
        <w:ind w:left="19"/>
      </w:pPr>
      <w:r>
        <w:t xml:space="preserve">Course Objectives  </w:t>
      </w:r>
    </w:p>
    <w:p w14:paraId="717EE2B1" w14:textId="77777777" w:rsidR="00CD2B64" w:rsidRDefault="00C5614D">
      <w:pPr>
        <w:spacing w:after="34"/>
      </w:pPr>
      <w:r>
        <w:t xml:space="preserve">By the end of the course, students will…  </w:t>
      </w:r>
    </w:p>
    <w:p w14:paraId="2BCB9D0F" w14:textId="77777777" w:rsidR="00CD2B64" w:rsidRDefault="00C5614D">
      <w:pPr>
        <w:numPr>
          <w:ilvl w:val="0"/>
          <w:numId w:val="1"/>
        </w:numPr>
        <w:spacing w:after="6"/>
        <w:ind w:hanging="360"/>
      </w:pPr>
      <w:r>
        <w:t xml:space="preserve">Role of survey weights in population inference. </w:t>
      </w:r>
    </w:p>
    <w:p w14:paraId="3D550C8F" w14:textId="77777777" w:rsidR="00CD2B64" w:rsidRDefault="00C5614D">
      <w:pPr>
        <w:numPr>
          <w:ilvl w:val="0"/>
          <w:numId w:val="1"/>
        </w:numPr>
        <w:spacing w:after="17"/>
        <w:ind w:hanging="360"/>
      </w:pPr>
      <w:r>
        <w:t xml:space="preserve">Steps in weighting, including computation of base weights, nonresponse adjustments, and uses of auxiliary data. </w:t>
      </w:r>
    </w:p>
    <w:p w14:paraId="02CFA810" w14:textId="77777777" w:rsidR="00CD2B64" w:rsidRDefault="00C5614D">
      <w:pPr>
        <w:numPr>
          <w:ilvl w:val="0"/>
          <w:numId w:val="1"/>
        </w:numPr>
        <w:spacing w:after="15"/>
        <w:ind w:hanging="360"/>
      </w:pPr>
      <w:r>
        <w:t xml:space="preserve">Nonresponse adjustment alternatives, including weighting cell adjustments, formation of cells using classification algorithms, and propensity score adjustments. </w:t>
      </w:r>
    </w:p>
    <w:p w14:paraId="736F26AE" w14:textId="77777777" w:rsidR="00CD2B64" w:rsidRDefault="00C5614D">
      <w:pPr>
        <w:numPr>
          <w:ilvl w:val="0"/>
          <w:numId w:val="1"/>
        </w:numPr>
        <w:spacing w:after="36"/>
        <w:ind w:hanging="360"/>
      </w:pPr>
      <w:r>
        <w:t xml:space="preserve">Weighting via poststratification, raking, general regression estimation, and other types of calibration. </w:t>
      </w:r>
    </w:p>
    <w:p w14:paraId="0A2BDC40" w14:textId="77777777" w:rsidR="00CD2B64" w:rsidRDefault="00C5614D">
      <w:pPr>
        <w:numPr>
          <w:ilvl w:val="0"/>
          <w:numId w:val="1"/>
        </w:numPr>
        <w:spacing w:after="496"/>
        <w:ind w:hanging="360"/>
      </w:pPr>
      <w:r>
        <w:t xml:space="preserve">Assessing if weights are not needed. </w:t>
      </w:r>
    </w:p>
    <w:p w14:paraId="4FAD312E" w14:textId="77777777" w:rsidR="00CD2B64" w:rsidRDefault="00C5614D">
      <w:pPr>
        <w:pStyle w:val="Heading1"/>
        <w:shd w:val="clear" w:color="auto" w:fill="FF0000"/>
        <w:ind w:left="19"/>
      </w:pPr>
      <w:r>
        <w:t xml:space="preserve">Prerequisites  </w:t>
      </w:r>
    </w:p>
    <w:p w14:paraId="424498D0" w14:textId="77777777" w:rsidR="00CD2B64" w:rsidRDefault="00C5614D">
      <w:r>
        <w:t xml:space="preserve">Some knowledge about sampling, i.e., students should know what a stratified samples is for example.  </w:t>
      </w:r>
    </w:p>
    <w:p w14:paraId="5CA73B01" w14:textId="77777777" w:rsidR="00CD2B64" w:rsidRDefault="00C5614D">
      <w:r>
        <w:t xml:space="preserve">Some experience with variance estimation (e.g., SURV742 Inference from Complex Surveys), Sampling theory, Applied sampling (e.g., SURV626 Sampling I, or SURV747 Practical Tools (Part I) for Sampling), statistical analysis using survey data, and the R statistical computing software will be helpful. </w:t>
      </w:r>
    </w:p>
    <w:p w14:paraId="168F6E3B" w14:textId="77777777" w:rsidR="00CD2B64" w:rsidRDefault="00C5614D">
      <w:pPr>
        <w:pStyle w:val="Heading1"/>
        <w:ind w:left="19"/>
      </w:pPr>
      <w:r>
        <w:t xml:space="preserve">Class Structure and Course Concept  </w:t>
      </w:r>
    </w:p>
    <w:p w14:paraId="1784913F" w14:textId="77777777" w:rsidR="00CD2B64" w:rsidRDefault="00C5614D">
      <w:r>
        <w:t xml:space="preserve">This is an online course, using a flipped classroom design. It covers the same material and content as an on-site course but runs differently. In this course, you are responsible for watching video-recorded lectures and reading the required literature for each unit </w:t>
      </w:r>
      <w:r>
        <w:lastRenderedPageBreak/>
        <w:t xml:space="preserve">prior to participating in mandatory weekly one-hour online meetings where students have the chance to discuss the materials from a unit with the instructor. Just like in an on-site course, homework will be assigned and graded and there will be a final exam at the end of the course.  </w:t>
      </w:r>
    </w:p>
    <w:p w14:paraId="53C4E01F" w14:textId="77777777" w:rsidR="00CD2B64" w:rsidRDefault="00C5614D">
      <w:pPr>
        <w:spacing w:after="531"/>
      </w:pPr>
      <w:r>
        <w:t>Although this is an online course where students have more freedom in when they engage with the course materials, students are expected to spend the same amount of time overall on all activities in the course – including preparatory activities (readings, studying), in-class-activities (watching videos, participating in online meetings), and follow-up activities (working on assignments and exams) – as in an on-site course. As a rule of thumb, you can expect to spend approximately 3h/week on in-class-activiti</w:t>
      </w:r>
      <w:r>
        <w:t xml:space="preserve">es and 9 hours per week on out-of-class activities (preparing for class, readings, assignments, projects, studying for quizzes and exams). Therefore, the workload in all courses will be approximately 12h/week. This is a 1-credit/2ECTS course that runs for 4 weeks. Please note that the actual workload will depend on your personal knowledge. </w:t>
      </w:r>
    </w:p>
    <w:p w14:paraId="42D6F4FB" w14:textId="77777777" w:rsidR="00CD2B64" w:rsidRDefault="00C5614D">
      <w:pPr>
        <w:pStyle w:val="Heading1"/>
        <w:ind w:left="19"/>
      </w:pPr>
      <w:r>
        <w:t xml:space="preserve">Mandatory Weekly Online Meetings  </w:t>
      </w:r>
    </w:p>
    <w:p w14:paraId="4B81145B" w14:textId="5304EE54" w:rsidR="00CD2B64" w:rsidRDefault="00C5614D">
      <w:pPr>
        <w:spacing w:after="223" w:line="270" w:lineRule="auto"/>
        <w:ind w:left="-5"/>
        <w:jc w:val="left"/>
      </w:pPr>
      <w:r>
        <w:rPr>
          <w:i/>
        </w:rPr>
        <w:t xml:space="preserve">Friday, </w:t>
      </w:r>
      <w:r>
        <w:rPr>
          <w:sz w:val="25"/>
        </w:rPr>
        <w:t>11</w:t>
      </w:r>
      <w:r>
        <w:rPr>
          <w:i/>
        </w:rPr>
        <w:t>:00AM E</w:t>
      </w:r>
      <w:r>
        <w:rPr>
          <w:sz w:val="25"/>
        </w:rPr>
        <w:t>S</w:t>
      </w:r>
      <w:r>
        <w:rPr>
          <w:i/>
        </w:rPr>
        <w:t>T/</w:t>
      </w:r>
      <w:r>
        <w:rPr>
          <w:sz w:val="25"/>
        </w:rPr>
        <w:t xml:space="preserve"> 4:00</w:t>
      </w:r>
      <w:r>
        <w:rPr>
          <w:i/>
        </w:rPr>
        <w:t>PM CEST, starting</w:t>
      </w:r>
      <w:r>
        <w:rPr>
          <w:sz w:val="25"/>
        </w:rPr>
        <w:t xml:space="preserve"> April 17</w:t>
      </w:r>
      <w:r>
        <w:rPr>
          <w:sz w:val="25"/>
        </w:rPr>
        <w:t>, 2026</w:t>
      </w:r>
      <w:r>
        <w:t xml:space="preserve"> </w:t>
      </w:r>
    </w:p>
    <w:p w14:paraId="31F6B25D" w14:textId="77777777" w:rsidR="00CD2B64" w:rsidRDefault="00C5614D">
      <w:r>
        <w:t xml:space="preserve">Meetings will be held online through Zoom. Follow the link to the meeting sessions on the course website on </w:t>
      </w:r>
      <w:hyperlink r:id="rId8">
        <w:r>
          <w:rPr>
            <w:color w:val="0563C1"/>
            <w:u w:val="single" w:color="0563C1"/>
          </w:rPr>
          <w:t>https://umd.zoom.us</w:t>
        </w:r>
      </w:hyperlink>
      <w:hyperlink r:id="rId9">
        <w:r>
          <w:rPr>
            <w:color w:val="0563C1"/>
            <w:u w:val="single" w:color="0563C1"/>
          </w:rPr>
          <w:t>/</w:t>
        </w:r>
      </w:hyperlink>
      <w:hyperlink r:id="rId10">
        <w:r>
          <w:t xml:space="preserve">. </w:t>
        </w:r>
      </w:hyperlink>
      <w:r>
        <w:t xml:space="preserve">If video participation via Internet is not possible, arrangements can be made for students to dial in and join the meetings via telephone.  </w:t>
      </w:r>
    </w:p>
    <w:p w14:paraId="60256250" w14:textId="77777777" w:rsidR="00CD2B64" w:rsidRDefault="00C5614D">
      <w:r>
        <w:t xml:space="preserve">In preparation for the weekly online meetings, students are expected to watch the lecture videos and read the assigned literature before the start of the meeting. In addition, students are encouraged to post questions about the materials covered in the videos and readings of the week in the forum before the meetings (deadline for posting questions is: one day before the online meeting on Friday at 11:00 AM EsT/4:00 PM CEST).  </w:t>
      </w:r>
    </w:p>
    <w:p w14:paraId="153990AD" w14:textId="77777777" w:rsidR="00CD2B64" w:rsidRDefault="00C5614D">
      <w:pPr>
        <w:spacing w:after="531"/>
      </w:pPr>
      <w:r>
        <w:t xml:space="preserve">Students have the opportunity to use the BigBlueButton feature in Canvas to connect with peers outside the scheduled weekly online meetings (e.g., for study groups). Students are not required to use BigBlueButton and can of course use other online meeting platforms such as Google Hangouts, Skype or Microsoft Teams.  </w:t>
      </w:r>
    </w:p>
    <w:p w14:paraId="2AA5B479" w14:textId="77777777" w:rsidR="00C5614D" w:rsidRDefault="00C5614D">
      <w:pPr>
        <w:spacing w:after="531"/>
      </w:pPr>
    </w:p>
    <w:p w14:paraId="27BC1FB0" w14:textId="77777777" w:rsidR="00C5614D" w:rsidRDefault="00C5614D">
      <w:pPr>
        <w:spacing w:after="531"/>
      </w:pPr>
    </w:p>
    <w:p w14:paraId="5C6FE8C1" w14:textId="77777777" w:rsidR="00CD2B64" w:rsidRDefault="00C5614D">
      <w:pPr>
        <w:pStyle w:val="Heading1"/>
        <w:ind w:left="19"/>
      </w:pPr>
      <w:r>
        <w:lastRenderedPageBreak/>
        <w:t xml:space="preserve">Grading  </w:t>
      </w:r>
    </w:p>
    <w:p w14:paraId="4C411EE3" w14:textId="77777777" w:rsidR="00CD2B64" w:rsidRDefault="00C5614D">
      <w:pPr>
        <w:spacing w:after="32"/>
      </w:pPr>
      <w:r>
        <w:t xml:space="preserve">Grading will be based on:  </w:t>
      </w:r>
    </w:p>
    <w:p w14:paraId="794ABE15" w14:textId="77777777" w:rsidR="00CD2B64" w:rsidRDefault="00C5614D">
      <w:pPr>
        <w:numPr>
          <w:ilvl w:val="0"/>
          <w:numId w:val="2"/>
        </w:numPr>
        <w:spacing w:after="28"/>
        <w:ind w:hanging="360"/>
      </w:pPr>
      <w:r>
        <w:t xml:space="preserve">4 Homework assignments (50% of grade) </w:t>
      </w:r>
    </w:p>
    <w:p w14:paraId="436B20BE" w14:textId="77777777" w:rsidR="00CD2B64" w:rsidRDefault="00C5614D">
      <w:pPr>
        <w:numPr>
          <w:ilvl w:val="0"/>
          <w:numId w:val="2"/>
        </w:numPr>
        <w:spacing w:after="6"/>
        <w:ind w:hanging="360"/>
      </w:pPr>
      <w:r>
        <w:t xml:space="preserve">A take-home final exam (30% of grade) </w:t>
      </w:r>
    </w:p>
    <w:p w14:paraId="7FD3EF43" w14:textId="77777777" w:rsidR="00CD2B64" w:rsidRDefault="00C5614D">
      <w:pPr>
        <w:numPr>
          <w:ilvl w:val="0"/>
          <w:numId w:val="2"/>
        </w:numPr>
        <w:ind w:hanging="360"/>
      </w:pPr>
      <w:r>
        <w:t xml:space="preserve">Class Participation (20% of grade) in discussion during the weekly online meetings and posting questions to the weekly discussion forum (deadline: 24 hours before class) demonstrating understanding of the required readings and video lectures </w:t>
      </w:r>
    </w:p>
    <w:p w14:paraId="1E1A07E8" w14:textId="77777777" w:rsidR="00C5614D" w:rsidRDefault="00C5614D">
      <w:pPr>
        <w:spacing w:after="12" w:line="270" w:lineRule="auto"/>
        <w:ind w:left="-5" w:right="7305"/>
        <w:jc w:val="left"/>
      </w:pPr>
      <w:r>
        <w:rPr>
          <w:i/>
        </w:rPr>
        <w:t xml:space="preserve">A+   100 - 97 </w:t>
      </w:r>
      <w:r>
        <w:t xml:space="preserve"> </w:t>
      </w:r>
    </w:p>
    <w:p w14:paraId="008EE02B" w14:textId="7F37E35B" w:rsidR="00CD2B64" w:rsidRDefault="00C5614D">
      <w:pPr>
        <w:spacing w:after="12" w:line="270" w:lineRule="auto"/>
        <w:ind w:left="-5" w:right="7305"/>
        <w:jc w:val="left"/>
      </w:pPr>
      <w:r>
        <w:rPr>
          <w:i/>
        </w:rPr>
        <w:t xml:space="preserve">A   </w:t>
      </w:r>
      <w:r>
        <w:rPr>
          <w:i/>
        </w:rPr>
        <w:tab/>
        <w:t>9</w:t>
      </w:r>
      <w:r>
        <w:rPr>
          <w:sz w:val="25"/>
        </w:rPr>
        <w:t>7</w:t>
      </w:r>
      <w:r>
        <w:rPr>
          <w:i/>
        </w:rPr>
        <w:t xml:space="preserve"> - 93 </w:t>
      </w:r>
      <w:r>
        <w:t xml:space="preserve"> </w:t>
      </w:r>
      <w:r>
        <w:rPr>
          <w:i/>
        </w:rPr>
        <w:t xml:space="preserve">A-  </w:t>
      </w:r>
      <w:r>
        <w:rPr>
          <w:i/>
        </w:rPr>
        <w:tab/>
        <w:t>9</w:t>
      </w:r>
      <w:r>
        <w:rPr>
          <w:sz w:val="25"/>
        </w:rPr>
        <w:t>3</w:t>
      </w:r>
      <w:r>
        <w:rPr>
          <w:i/>
        </w:rPr>
        <w:t xml:space="preserve"> - 90</w:t>
      </w:r>
      <w:r>
        <w:t xml:space="preserve"> </w:t>
      </w:r>
    </w:p>
    <w:p w14:paraId="043A8ACC" w14:textId="77777777" w:rsidR="00CD2B64" w:rsidRDefault="00C5614D">
      <w:pPr>
        <w:spacing w:after="12" w:line="270" w:lineRule="auto"/>
        <w:ind w:left="-5"/>
        <w:jc w:val="left"/>
      </w:pPr>
      <w:r>
        <w:rPr>
          <w:i/>
        </w:rPr>
        <w:t xml:space="preserve">B+    </w:t>
      </w:r>
      <w:r>
        <w:rPr>
          <w:sz w:val="25"/>
        </w:rPr>
        <w:t>90</w:t>
      </w:r>
      <w:r>
        <w:rPr>
          <w:i/>
        </w:rPr>
        <w:t xml:space="preserve"> - 87 </w:t>
      </w:r>
      <w:r>
        <w:t xml:space="preserve"> </w:t>
      </w:r>
    </w:p>
    <w:p w14:paraId="54EB57ED" w14:textId="77777777" w:rsidR="00CD2B64" w:rsidRDefault="00C5614D">
      <w:pPr>
        <w:tabs>
          <w:tab w:val="center" w:pos="1042"/>
        </w:tabs>
        <w:spacing w:after="12" w:line="270" w:lineRule="auto"/>
        <w:ind w:left="-15" w:firstLine="0"/>
        <w:jc w:val="left"/>
      </w:pPr>
      <w:r>
        <w:rPr>
          <w:i/>
        </w:rPr>
        <w:t xml:space="preserve">B   </w:t>
      </w:r>
      <w:r>
        <w:rPr>
          <w:i/>
        </w:rPr>
        <w:tab/>
        <w:t>8</w:t>
      </w:r>
      <w:r>
        <w:rPr>
          <w:sz w:val="25"/>
        </w:rPr>
        <w:t>7</w:t>
      </w:r>
      <w:r>
        <w:rPr>
          <w:i/>
        </w:rPr>
        <w:t xml:space="preserve"> - 83 </w:t>
      </w:r>
      <w:r>
        <w:t xml:space="preserve"> </w:t>
      </w:r>
    </w:p>
    <w:p w14:paraId="6398FDB0" w14:textId="77777777" w:rsidR="00CD2B64" w:rsidRDefault="00C5614D">
      <w:pPr>
        <w:tabs>
          <w:tab w:val="center" w:pos="1042"/>
        </w:tabs>
        <w:spacing w:after="12" w:line="270" w:lineRule="auto"/>
        <w:ind w:left="-15" w:firstLine="0"/>
        <w:jc w:val="left"/>
      </w:pPr>
      <w:r>
        <w:rPr>
          <w:i/>
        </w:rPr>
        <w:t xml:space="preserve">B-  </w:t>
      </w:r>
      <w:r>
        <w:rPr>
          <w:i/>
        </w:rPr>
        <w:tab/>
        <w:t>8</w:t>
      </w:r>
      <w:r>
        <w:rPr>
          <w:sz w:val="25"/>
        </w:rPr>
        <w:t>3</w:t>
      </w:r>
      <w:r>
        <w:rPr>
          <w:i/>
        </w:rPr>
        <w:t xml:space="preserve"> - 80</w:t>
      </w:r>
      <w:r>
        <w:t xml:space="preserve"> </w:t>
      </w:r>
    </w:p>
    <w:p w14:paraId="7F493AAD" w14:textId="77777777" w:rsidR="00CD2B64" w:rsidRDefault="00C5614D">
      <w:pPr>
        <w:spacing w:after="241" w:line="270" w:lineRule="auto"/>
        <w:ind w:left="-5"/>
        <w:jc w:val="left"/>
      </w:pPr>
      <w:r>
        <w:rPr>
          <w:i/>
        </w:rPr>
        <w:t>Etc.</w:t>
      </w:r>
      <w:r>
        <w:t xml:space="preserve"> </w:t>
      </w:r>
    </w:p>
    <w:p w14:paraId="375CF4B6" w14:textId="77777777" w:rsidR="00CD2B64" w:rsidRDefault="00C5614D">
      <w:pPr>
        <w:spacing w:after="0" w:line="240" w:lineRule="auto"/>
        <w:ind w:left="14" w:firstLine="0"/>
        <w:jc w:val="left"/>
      </w:pPr>
      <w:r>
        <w:rPr>
          <w:color w:val="151B26"/>
        </w:rPr>
        <w:t xml:space="preserve">The grading scale is a base scale recommended by the IPSDS. Variations for grading on a scale are at the discretion of the instructor. </w:t>
      </w:r>
      <w:r>
        <w:t xml:space="preserve"> </w:t>
      </w:r>
    </w:p>
    <w:p w14:paraId="0424B952" w14:textId="77777777" w:rsidR="00CD2B64" w:rsidRDefault="00C5614D">
      <w:pPr>
        <w:spacing w:after="22"/>
      </w:pPr>
      <w:r>
        <w:t xml:space="preserve">Dates of when assignment will be due are indicated in the syllabus. There are penalties for turning in homework after the due dates:  </w:t>
      </w:r>
    </w:p>
    <w:p w14:paraId="0FE6320B" w14:textId="77777777" w:rsidR="00CD2B64" w:rsidRDefault="00C5614D">
      <w:pPr>
        <w:numPr>
          <w:ilvl w:val="0"/>
          <w:numId w:val="3"/>
        </w:numPr>
        <w:spacing w:after="11"/>
        <w:ind w:hanging="163"/>
      </w:pPr>
      <w:r>
        <w:t xml:space="preserve">day late:  </w:t>
      </w:r>
      <w:r>
        <w:tab/>
        <w:t xml:space="preserve">25% off  </w:t>
      </w:r>
    </w:p>
    <w:p w14:paraId="0D1A8CC4" w14:textId="77777777" w:rsidR="00CD2B64" w:rsidRDefault="00C5614D">
      <w:pPr>
        <w:numPr>
          <w:ilvl w:val="0"/>
          <w:numId w:val="3"/>
        </w:numPr>
        <w:spacing w:after="6"/>
        <w:ind w:hanging="163"/>
      </w:pPr>
      <w:r>
        <w:t xml:space="preserve">days late:   50% off  </w:t>
      </w:r>
    </w:p>
    <w:p w14:paraId="4E96FA98" w14:textId="77777777" w:rsidR="00CD2B64" w:rsidRDefault="00C5614D">
      <w:pPr>
        <w:spacing w:after="534"/>
      </w:pPr>
      <w:r>
        <w:t xml:space="preserve">3+ days late: no credit  </w:t>
      </w:r>
    </w:p>
    <w:p w14:paraId="11186653" w14:textId="77777777" w:rsidR="00CD2B64" w:rsidRDefault="00C5614D">
      <w:pPr>
        <w:pStyle w:val="Heading1"/>
        <w:ind w:left="19"/>
      </w:pPr>
      <w:r>
        <w:t xml:space="preserve">Technical Equipment Needs  </w:t>
      </w:r>
    </w:p>
    <w:p w14:paraId="701A2E1B" w14:textId="77777777" w:rsidR="00CD2B64" w:rsidRDefault="00C5614D">
      <w:pPr>
        <w:spacing w:after="528"/>
      </w:pPr>
      <w:r>
        <w:t>The learning experience in this course will mainly rely on the online interaction between the students and the instructors during the weekly online meetings. Therefore, we encourage all students in this course to use a web camera and a headset. Decent quality headsets and web cams are available for less than $20 each. We ask students to refrain from using built-in web cams and speakers on their desktops or laptops. We know from our experience in previous online courses that this will reduce the quality of v</w:t>
      </w:r>
      <w:r>
        <w:t xml:space="preserve">ideo and audio transmission and therefore will decrease the overall learning experience for all students in the course. In addition, we suggest that students use a wire connection (LAN), if available, when connecting to the online meetings. Wireless connections (WLAN) are usually less stable and might be dropped.  </w:t>
      </w:r>
    </w:p>
    <w:p w14:paraId="7D2DA15D" w14:textId="77777777" w:rsidR="00C5614D" w:rsidRDefault="00C5614D">
      <w:pPr>
        <w:spacing w:after="528"/>
      </w:pPr>
    </w:p>
    <w:p w14:paraId="3767A53D" w14:textId="77777777" w:rsidR="00CD2B64" w:rsidRDefault="00C5614D">
      <w:pPr>
        <w:pStyle w:val="Heading1"/>
        <w:ind w:left="19"/>
      </w:pPr>
      <w:r>
        <w:lastRenderedPageBreak/>
        <w:t xml:space="preserve">Long Course Description  </w:t>
      </w:r>
    </w:p>
    <w:p w14:paraId="1E3AF080" w14:textId="77777777" w:rsidR="00CD2B64" w:rsidRDefault="00C5614D">
      <w:r>
        <w:t xml:space="preserve">This course and the textbook give students the necessary tools to calculate analysis weights for various survey designs in a real-world setting. We will cover topics on calculating base weights for single- and multistage designs, adjusting weights for unknown study eligibility and nonresponse using a few techniques, and aligning survey estimates with known population values through weight calibration.   </w:t>
      </w:r>
    </w:p>
    <w:p w14:paraId="56292216" w14:textId="77777777" w:rsidR="00CD2B64" w:rsidRDefault="00C5614D">
      <w:pPr>
        <w:spacing w:after="0"/>
      </w:pPr>
      <w:r>
        <w:t xml:space="preserve">We will use specialized software for the procedures mentioned. This course will emphasize R but some examples in SAS and Stata are also discussed. R is downloaded for free from </w:t>
      </w:r>
      <w:hyperlink r:id="rId11">
        <w:r>
          <w:rPr>
            <w:color w:val="0000FF"/>
            <w:u w:val="single" w:color="0000FF"/>
          </w:rPr>
          <w:t>http://cran.</w:t>
        </w:r>
      </w:hyperlink>
      <w:hyperlink r:id="rId12">
        <w:r>
          <w:rPr>
            <w:color w:val="0000FF"/>
            <w:u w:val="single" w:color="0000FF"/>
          </w:rPr>
          <w:t>r</w:t>
        </w:r>
      </w:hyperlink>
      <w:hyperlink r:id="rId13">
        <w:r>
          <w:rPr>
            <w:color w:val="0000FF"/>
            <w:u w:val="single" w:color="0000FF"/>
          </w:rPr>
          <w:t>-project.org</w:t>
        </w:r>
      </w:hyperlink>
      <w:hyperlink r:id="rId14">
        <w:r>
          <w:rPr>
            <w:color w:val="0000FF"/>
            <w:u w:val="single" w:color="0000FF"/>
          </w:rPr>
          <w:t>/</w:t>
        </w:r>
      </w:hyperlink>
      <w:hyperlink r:id="rId15">
        <w:r>
          <w:t xml:space="preserve">. </w:t>
        </w:r>
      </w:hyperlink>
      <w:r>
        <w:t xml:space="preserve">Students may also find </w:t>
      </w:r>
      <w:hyperlink r:id="rId16">
        <w:r>
          <w:rPr>
            <w:color w:val="0000FF"/>
            <w:u w:val="single" w:color="0000FF"/>
          </w:rPr>
          <w:t>https://www.rstudio.com</w:t>
        </w:r>
      </w:hyperlink>
      <w:hyperlink r:id="rId17">
        <w:r>
          <w:rPr>
            <w:color w:val="0000FF"/>
            <w:u w:val="single" w:color="0000FF"/>
          </w:rPr>
          <w:t>/</w:t>
        </w:r>
      </w:hyperlink>
      <w:hyperlink r:id="rId18">
        <w:r>
          <w:t xml:space="preserve"> a</w:t>
        </w:r>
      </w:hyperlink>
      <w:r>
        <w:t xml:space="preserve"> helpful interface to execute program code. For those new to R, there are many MarinStatsLectures available at  </w:t>
      </w:r>
    </w:p>
    <w:p w14:paraId="030D79B1" w14:textId="77777777" w:rsidR="00CD2B64" w:rsidRDefault="00C5614D">
      <w:pPr>
        <w:spacing w:line="259" w:lineRule="auto"/>
        <w:ind w:left="14" w:firstLine="0"/>
        <w:jc w:val="left"/>
      </w:pPr>
      <w:hyperlink r:id="rId19">
        <w:r>
          <w:rPr>
            <w:color w:val="0000FF"/>
            <w:u w:val="single" w:color="0000FF"/>
          </w:rPr>
          <w:t>https://www.youtube.com/playlist?list=PLqzoL</w:t>
        </w:r>
      </w:hyperlink>
      <w:hyperlink r:id="rId20">
        <w:r>
          <w:rPr>
            <w:color w:val="0000FF"/>
            <w:u w:val="single" w:color="0000FF"/>
          </w:rPr>
          <w:t>9</w:t>
        </w:r>
      </w:hyperlink>
      <w:hyperlink r:id="rId21">
        <w:r>
          <w:rPr>
            <w:color w:val="0000FF"/>
            <w:u w:val="single" w:color="0000FF"/>
          </w:rPr>
          <w:t>-eJTNBDdKgJgJzaQcY6OXmsXAH</w:t>
        </w:r>
      </w:hyperlink>
      <w:hyperlink r:id="rId22">
        <w:r>
          <w:rPr>
            <w:color w:val="0000FF"/>
            <w:u w:val="single" w:color="0000FF"/>
          </w:rPr>
          <w:t>U</w:t>
        </w:r>
      </w:hyperlink>
      <w:hyperlink r:id="rId23">
        <w:r>
          <w:t xml:space="preserve">  </w:t>
        </w:r>
      </w:hyperlink>
      <w:r>
        <w:t xml:space="preserve"> </w:t>
      </w:r>
    </w:p>
    <w:p w14:paraId="37022AA8" w14:textId="77777777" w:rsidR="00CD2B64" w:rsidRDefault="00C5614D">
      <w:r>
        <w:t xml:space="preserve">There will be homework problems each week for students to gain practice using all methods covered in the course. The emphasis will be on using the methods to solve </w:t>
      </w:r>
    </w:p>
    <w:p w14:paraId="77E22D1A" w14:textId="77777777" w:rsidR="00CD2B64" w:rsidRDefault="00C5614D" w:rsidP="00C5614D">
      <w:r>
        <w:t>practical problems; we review theory as needed for a clear understanding of the underlying assumptions. All are encouraged to discuss their own weighting challenges and solutions during our weekly online meetings.</w:t>
      </w:r>
    </w:p>
    <w:p w14:paraId="3AE939EE" w14:textId="77777777" w:rsidR="00C5614D" w:rsidRDefault="00C5614D" w:rsidP="00C5614D">
      <w:pPr>
        <w:ind w:left="0" w:firstLine="0"/>
      </w:pPr>
    </w:p>
    <w:p w14:paraId="20602020" w14:textId="77777777" w:rsidR="00C5614D" w:rsidRDefault="00C5614D" w:rsidP="00C5614D">
      <w:pPr>
        <w:pStyle w:val="Heading1"/>
        <w:ind w:left="19"/>
      </w:pPr>
      <w:r>
        <w:t xml:space="preserve">Readings  </w:t>
      </w:r>
    </w:p>
    <w:p w14:paraId="22BD3C1A" w14:textId="77777777" w:rsidR="00C5614D" w:rsidRDefault="00C5614D" w:rsidP="00C5614D">
      <w:pPr>
        <w:spacing w:after="1" w:line="259" w:lineRule="auto"/>
        <w:ind w:left="19"/>
        <w:jc w:val="left"/>
      </w:pPr>
      <w:r>
        <w:rPr>
          <w:b/>
        </w:rPr>
        <w:t xml:space="preserve">Primary Readings </w:t>
      </w:r>
      <w:r>
        <w:t xml:space="preserve"> </w:t>
      </w:r>
    </w:p>
    <w:p w14:paraId="50B76811" w14:textId="77777777" w:rsidR="00C5614D" w:rsidRDefault="00C5614D" w:rsidP="00C5614D">
      <w:r>
        <w:t xml:space="preserve">Valliant, R., Dever, J.A., and Kreuter, F. (2018). Practical Tools for Designing and Weighting Survey Samples, 2nd Edition. New York: Springer.  </w:t>
      </w:r>
    </w:p>
    <w:p w14:paraId="27203DFA" w14:textId="77777777" w:rsidR="00C5614D" w:rsidRDefault="00C5614D" w:rsidP="00C5614D">
      <w:pPr>
        <w:spacing w:after="1" w:line="259" w:lineRule="auto"/>
        <w:ind w:left="19"/>
        <w:jc w:val="left"/>
      </w:pPr>
      <w:r>
        <w:rPr>
          <w:b/>
        </w:rPr>
        <w:t xml:space="preserve">Required and Recommended Readings </w:t>
      </w:r>
      <w:r>
        <w:t xml:space="preserve"> </w:t>
      </w:r>
    </w:p>
    <w:p w14:paraId="1AF66595" w14:textId="77777777" w:rsidR="00C5614D" w:rsidRDefault="00C5614D" w:rsidP="00C5614D">
      <w:r>
        <w:t xml:space="preserve">List of required and recommended readings for each class are provided below for each specific unit.  </w:t>
      </w:r>
    </w:p>
    <w:p w14:paraId="79A3BCB9" w14:textId="77777777" w:rsidR="00C5614D" w:rsidRDefault="00C5614D" w:rsidP="00C5614D">
      <w:r>
        <w:t xml:space="preserve">Please note that the recorded lectures are provided as a supplement to and not a substitution for the course readings.  </w:t>
      </w:r>
    </w:p>
    <w:p w14:paraId="776B1F3E" w14:textId="77777777" w:rsidR="00C5614D" w:rsidRDefault="00C5614D" w:rsidP="00C5614D"/>
    <w:p w14:paraId="3BB1C4F1" w14:textId="77777777" w:rsidR="00C5614D" w:rsidRDefault="00C5614D" w:rsidP="00C5614D"/>
    <w:p w14:paraId="1672288D" w14:textId="77777777" w:rsidR="00C5614D" w:rsidRDefault="00C5614D" w:rsidP="00C5614D"/>
    <w:p w14:paraId="198BFCDF" w14:textId="77777777" w:rsidR="00C5614D" w:rsidRDefault="00C5614D" w:rsidP="00C5614D">
      <w:pPr>
        <w:pStyle w:val="Heading1"/>
        <w:ind w:left="19"/>
      </w:pPr>
      <w:r>
        <w:lastRenderedPageBreak/>
        <w:t>Academic Conduct</w:t>
      </w:r>
      <w:r>
        <w:rPr>
          <w:b w:val="0"/>
          <w:color w:val="000000"/>
        </w:rPr>
        <w:t xml:space="preserve"> </w:t>
      </w:r>
      <w:r>
        <w:t xml:space="preserve"> </w:t>
      </w:r>
    </w:p>
    <w:p w14:paraId="2A70ADA3" w14:textId="77777777" w:rsidR="00C5614D" w:rsidRDefault="00C5614D" w:rsidP="00C5614D">
      <w:r>
        <w:t xml:space="preserve">Clear definitions of the forms of academic misconduct, including cheating and plagiarism, as well as information about disciplinary sanctions for academic misconduct may be found at   </w:t>
      </w:r>
    </w:p>
    <w:p w14:paraId="3FC209A7" w14:textId="77777777" w:rsidR="00C5614D" w:rsidRDefault="00C5614D" w:rsidP="00C5614D">
      <w:pPr>
        <w:spacing w:after="281" w:line="238" w:lineRule="auto"/>
        <w:ind w:left="19" w:firstLine="0"/>
        <w:jc w:val="left"/>
      </w:pPr>
      <w:hyperlink r:id="rId24">
        <w:r>
          <w:rPr>
            <w:color w:val="0563C1"/>
            <w:u w:val="single" w:color="0563C1"/>
          </w:rPr>
          <w:t>https://www.president.umd.edu/sites/president.umd.edu/files/documents/policies/III</w:t>
        </w:r>
      </w:hyperlink>
      <w:hyperlink r:id="rId25">
        <w:r>
          <w:rPr>
            <w:color w:val="0563C1"/>
            <w:u w:val="single" w:color="0563C1"/>
          </w:rPr>
          <w:t>100A.pd</w:t>
        </w:r>
      </w:hyperlink>
      <w:hyperlink r:id="rId26">
        <w:r>
          <w:rPr>
            <w:color w:val="0563C1"/>
            <w:u w:val="single" w:color="0563C1"/>
          </w:rPr>
          <w:t>f</w:t>
        </w:r>
      </w:hyperlink>
      <w:hyperlink r:id="rId27">
        <w:r>
          <w:t xml:space="preserve"> (</w:t>
        </w:r>
      </w:hyperlink>
      <w:r>
        <w:t xml:space="preserve">University of Maryland) </w:t>
      </w:r>
    </w:p>
    <w:p w14:paraId="6B35C60B" w14:textId="77777777" w:rsidR="00C5614D" w:rsidRDefault="00C5614D" w:rsidP="00C5614D">
      <w:hyperlink r:id="rId28">
        <w:r>
          <w:t>Knowledge of these rules is the responsibility of the student and i</w:t>
        </w:r>
      </w:hyperlink>
      <w:r>
        <w:t>gnorance of them does not excuse misconduct. The student is expected to be familiar with these guidelines before submitting any written work or taking any exams in this course. Lack of familiarity with these rules in no way constitutes an excuse for acts of misconduct. Charges of plagiarism and other forms of academic misconduct will be dealt with very seriously and may result in oral or written reprimands, a lower or failing grade on the assignment, a lower or failing grade for the course, suspension, and/or, in some cases, expulsion from the universi</w:t>
      </w:r>
      <w:r>
        <w:t>ty.</w:t>
      </w:r>
    </w:p>
    <w:p w14:paraId="08FB72C9" w14:textId="77777777" w:rsidR="00C5614D" w:rsidRDefault="00C5614D" w:rsidP="00C5614D">
      <w:pPr>
        <w:ind w:left="0" w:firstLine="0"/>
      </w:pPr>
    </w:p>
    <w:p w14:paraId="2763A431" w14:textId="77777777" w:rsidR="00C5614D" w:rsidRDefault="00C5614D" w:rsidP="00C5614D">
      <w:pPr>
        <w:pStyle w:val="Heading1"/>
        <w:ind w:left="19"/>
      </w:pPr>
      <w:r>
        <w:t>Course Evaluation</w:t>
      </w:r>
      <w:r>
        <w:rPr>
          <w:b w:val="0"/>
          <w:color w:val="000000"/>
        </w:rPr>
        <w:t xml:space="preserve"> </w:t>
      </w:r>
      <w:r>
        <w:t xml:space="preserve"> </w:t>
      </w:r>
    </w:p>
    <w:p w14:paraId="349EC44B" w14:textId="77777777" w:rsidR="00C5614D" w:rsidRDefault="00C5614D" w:rsidP="00C5614D">
      <w:r>
        <w:t xml:space="preserve">In an effort to improve the learning experience for students in our online courses, students will be invited to participate in an online course evaluation at the end of the course (in addition to the standard university evaluation survey). Participation is entirely voluntary and highly appreciated.  </w:t>
      </w:r>
    </w:p>
    <w:p w14:paraId="49DD3894" w14:textId="77777777" w:rsidR="00C5614D" w:rsidRDefault="00C5614D" w:rsidP="00C5614D">
      <w:pPr>
        <w:spacing w:line="259" w:lineRule="auto"/>
        <w:ind w:left="19" w:firstLine="0"/>
        <w:jc w:val="left"/>
      </w:pPr>
      <w:r>
        <w:t xml:space="preserve"> </w:t>
      </w:r>
    </w:p>
    <w:p w14:paraId="46D05C9C" w14:textId="77777777" w:rsidR="00C5614D" w:rsidRDefault="00C5614D" w:rsidP="00C5614D">
      <w:pPr>
        <w:spacing w:after="0" w:line="259" w:lineRule="auto"/>
        <w:ind w:left="24" w:firstLine="0"/>
        <w:jc w:val="left"/>
      </w:pPr>
      <w:r>
        <w:t xml:space="preserve"> </w:t>
      </w:r>
    </w:p>
    <w:p w14:paraId="427D9427" w14:textId="77777777" w:rsidR="00C5614D" w:rsidRDefault="00C5614D" w:rsidP="00C5614D">
      <w:pPr>
        <w:pStyle w:val="Heading1"/>
        <w:ind w:left="19"/>
      </w:pPr>
      <w:r>
        <w:t xml:space="preserve">UMD AI Policy     </w:t>
      </w:r>
    </w:p>
    <w:p w14:paraId="66A980F2" w14:textId="77777777" w:rsidR="00C5614D" w:rsidRDefault="00C5614D" w:rsidP="00C5614D">
      <w:pPr>
        <w:spacing w:after="2" w:line="259" w:lineRule="auto"/>
        <w:ind w:left="67" w:firstLine="0"/>
        <w:jc w:val="left"/>
      </w:pPr>
      <w:r>
        <w:rPr>
          <w:b/>
        </w:rPr>
        <w:t xml:space="preserve"> </w:t>
      </w:r>
      <w:r>
        <w:t xml:space="preserve">    </w:t>
      </w:r>
    </w:p>
    <w:p w14:paraId="692B4114" w14:textId="1F076843" w:rsidR="00C5614D" w:rsidRDefault="00C5614D" w:rsidP="00C5614D">
      <w:pPr>
        <w:sectPr w:rsidR="00C5614D">
          <w:footerReference w:type="even" r:id="rId29"/>
          <w:footerReference w:type="default" r:id="rId30"/>
          <w:footerReference w:type="first" r:id="rId31"/>
          <w:pgSz w:w="11906" w:h="16838"/>
          <w:pgMar w:top="1517" w:right="1409" w:bottom="1629" w:left="1402" w:header="720" w:footer="948" w:gutter="0"/>
          <w:cols w:space="720"/>
        </w:sectPr>
      </w:pPr>
      <w:r>
        <w:t xml:space="preserve">Students should consult with their instructors, teaching assistants, and mentors to clarify expectations regarding the use of GenAI tools in a given course. When permitted by the instructor, students should appropriately </w:t>
      </w:r>
      <w:hyperlink r:id="rId32" w:anchor=":%7E:text=Title%20of%20work%3A%20Use%20the,date%20the%20content%20was%20generated">
        <w:r>
          <w:rPr>
            <w:color w:val="467886"/>
            <w:u w:val="single" w:color="467886"/>
          </w:rPr>
          <w:t>acknowledge and cite their use of</w:t>
        </w:r>
      </w:hyperlink>
      <w:hyperlink r:id="rId33" w:anchor=":%7E:text=Title%20of%20work%3A%20Use%20the,date%20the%20content%20was%20generated">
        <w:r>
          <w:rPr>
            <w:color w:val="467886"/>
          </w:rPr>
          <w:t xml:space="preserve"> </w:t>
        </w:r>
      </w:hyperlink>
      <w:hyperlink r:id="rId34" w:anchor=":%7E:text=Title%20of%20work%3A%20Use%20the,date%20the%20content%20was%20generated">
        <w:r>
          <w:rPr>
            <w:color w:val="467886"/>
            <w:u w:val="single" w:color="467886"/>
          </w:rPr>
          <w:t>GenAI application</w:t>
        </w:r>
      </w:hyperlink>
      <w:hyperlink r:id="rId35" w:anchor=":%7E:text=Title%20of%20work%3A%20Use%20the,date%20the%20content%20was%20generated">
        <w:r>
          <w:rPr>
            <w:color w:val="467886"/>
            <w:u w:val="single" w:color="467886"/>
          </w:rPr>
          <w:t>s</w:t>
        </w:r>
      </w:hyperlink>
      <w:hyperlink r:id="rId36" w:anchor=":%7E:text=Title%20of%20work%3A%20Use%20the,date%20the%20content%20was%20generated">
        <w:r>
          <w:t xml:space="preserve">. </w:t>
        </w:r>
      </w:hyperlink>
      <w:hyperlink r:id="rId37" w:anchor=":%7E:text=Title%20of%20work%3A%20Use%20the,date%20the%20content%20was%20generated">
        <w:r>
          <w:t>Whe</w:t>
        </w:r>
      </w:hyperlink>
      <w:r>
        <w:t xml:space="preserve">n conducting research-related activities (e.g., theses, comprehensive exams, dissertations), students should refer to the guidance below for research and scholarship. Allegations of unauthorized use of GenAI will be treated similarly to allegations of </w:t>
      </w:r>
      <w:hyperlink r:id="rId38">
        <w:r>
          <w:rPr>
            <w:color w:val="467886"/>
            <w:u w:val="single" w:color="467886"/>
          </w:rPr>
          <w:t>unauthorized assistance (cheating) or plagiaris</w:t>
        </w:r>
      </w:hyperlink>
      <w:hyperlink r:id="rId39">
        <w:r>
          <w:rPr>
            <w:color w:val="467886"/>
            <w:u w:val="single" w:color="467886"/>
          </w:rPr>
          <w:t>m</w:t>
        </w:r>
      </w:hyperlink>
      <w:hyperlink r:id="rId40">
        <w:r>
          <w:t xml:space="preserve"> </w:t>
        </w:r>
      </w:hyperlink>
      <w:hyperlink r:id="rId41">
        <w:r>
          <w:t xml:space="preserve">and </w:t>
        </w:r>
      </w:hyperlink>
      <w:r>
        <w:t xml:space="preserve">investigated by the Office of Student Conduct.   </w:t>
      </w:r>
    </w:p>
    <w:p w14:paraId="68BB74E8" w14:textId="5C4D5D76" w:rsidR="00CD2B64" w:rsidRDefault="00CD2B64" w:rsidP="00C5614D">
      <w:pPr>
        <w:spacing w:after="256" w:line="259" w:lineRule="auto"/>
        <w:ind w:left="0" w:firstLine="0"/>
        <w:jc w:val="left"/>
      </w:pPr>
    </w:p>
    <w:p w14:paraId="7A80CDBB" w14:textId="1DD7A948" w:rsidR="00CD2B64" w:rsidRDefault="00CD2B64" w:rsidP="00C5614D">
      <w:pPr>
        <w:pStyle w:val="Heading1"/>
        <w:jc w:val="center"/>
      </w:pPr>
    </w:p>
    <w:p w14:paraId="7E674267" w14:textId="7585EFF7" w:rsidR="00CD2B64" w:rsidRDefault="00C5614D" w:rsidP="00C5614D">
      <w:pPr>
        <w:pStyle w:val="Heading1"/>
        <w:jc w:val="center"/>
      </w:pPr>
      <w:r>
        <w:t>Session</w:t>
      </w:r>
    </w:p>
    <w:p w14:paraId="5A6B5C95" w14:textId="77777777" w:rsidR="00CD2B64" w:rsidRDefault="00C5614D">
      <w:pPr>
        <w:pStyle w:val="Heading1"/>
        <w:ind w:left="19"/>
      </w:pPr>
      <w:r>
        <w:t>W</w:t>
      </w:r>
      <w:r>
        <w:t xml:space="preserve">eek 1: Basic Steps in Weighting  </w:t>
      </w:r>
    </w:p>
    <w:p w14:paraId="63CBA102" w14:textId="5099B590" w:rsidR="00CD2B64" w:rsidRDefault="00C5614D" w:rsidP="00C5614D">
      <w:pPr>
        <w:spacing w:after="217"/>
      </w:pPr>
      <w:r>
        <w:t xml:space="preserve">Video lecture: available: Friday, April 10, </w:t>
      </w:r>
      <w:r>
        <w:t xml:space="preserve">11:00 AM ET/5:00 PM </w:t>
      </w:r>
    </w:p>
    <w:p w14:paraId="165AF3BB" w14:textId="77777777" w:rsidR="00C5614D" w:rsidRDefault="00C5614D" w:rsidP="00C5614D">
      <w:pPr>
        <w:spacing w:after="217"/>
      </w:pPr>
      <w:r>
        <w:t xml:space="preserve">Online meeting: Friday, </w:t>
      </w:r>
      <w:r>
        <w:t>April 17</w:t>
      </w:r>
      <w:r>
        <w:t xml:space="preserve">, 11:00 AM ET/5:00 PM </w:t>
      </w:r>
      <w:r>
        <w:t xml:space="preserve">CET </w:t>
      </w:r>
    </w:p>
    <w:p w14:paraId="16DE7082" w14:textId="355BC3C6" w:rsidR="00CD2B64" w:rsidRDefault="00C5614D" w:rsidP="00C5614D">
      <w:pPr>
        <w:spacing w:after="217"/>
      </w:pPr>
      <w:r>
        <w:t>Homework 1: due Monday, April 20</w:t>
      </w:r>
      <w:r>
        <w:t xml:space="preserve">, 12:00 PM </w:t>
      </w:r>
      <w:r>
        <w:t xml:space="preserve">ET/6:00 PM CET </w:t>
      </w:r>
    </w:p>
    <w:p w14:paraId="6E8EDEDA" w14:textId="77777777" w:rsidR="00CD2B64" w:rsidRDefault="00C5614D">
      <w:pPr>
        <w:spacing w:after="1" w:line="259" w:lineRule="auto"/>
        <w:ind w:left="19"/>
        <w:jc w:val="left"/>
      </w:pPr>
      <w:r>
        <w:rPr>
          <w:b/>
        </w:rPr>
        <w:t xml:space="preserve">Required Readings: </w:t>
      </w:r>
      <w:r>
        <w:t xml:space="preserve"> </w:t>
      </w:r>
    </w:p>
    <w:p w14:paraId="7A0830CD" w14:textId="77777777" w:rsidR="00CD2B64" w:rsidRDefault="00C5614D">
      <w:pPr>
        <w:spacing w:after="729"/>
      </w:pPr>
      <w:r>
        <w:t xml:space="preserve">Textbook; Chapter 6; Sections 13.1 – 13.5.2  </w:t>
      </w:r>
    </w:p>
    <w:p w14:paraId="27451FFC" w14:textId="77777777" w:rsidR="00CD2B64" w:rsidRDefault="00C5614D">
      <w:pPr>
        <w:pStyle w:val="Heading1"/>
        <w:spacing w:after="289"/>
        <w:ind w:left="19"/>
      </w:pPr>
      <w:r>
        <w:t>Week 2:</w:t>
      </w:r>
      <w:r>
        <w:rPr>
          <w:b w:val="0"/>
          <w:color w:val="000000"/>
        </w:rPr>
        <w:t xml:space="preserve"> </w:t>
      </w:r>
      <w:r>
        <w:t>Basic Steps in Weighting (continued)</w:t>
      </w:r>
      <w:r>
        <w:rPr>
          <w:color w:val="FFFF00"/>
        </w:rPr>
        <w:t xml:space="preserve"> </w:t>
      </w:r>
      <w:r>
        <w:t xml:space="preserve"> </w:t>
      </w:r>
    </w:p>
    <w:p w14:paraId="21E8D599" w14:textId="59CD0D66" w:rsidR="00CD2B64" w:rsidRDefault="00C5614D">
      <w:pPr>
        <w:spacing w:after="220"/>
      </w:pPr>
      <w:r>
        <w:t>Video lecture: available: Friday, April 17,</w:t>
      </w:r>
      <w:r>
        <w:t>11:00 AM ET/5:00 PM</w:t>
      </w:r>
    </w:p>
    <w:p w14:paraId="752387C3" w14:textId="6F1C3787" w:rsidR="00C5614D" w:rsidRDefault="00C5614D" w:rsidP="00C5614D">
      <w:pPr>
        <w:spacing w:after="217"/>
      </w:pPr>
      <w:r>
        <w:t>Online meeting: Friday, April 24</w:t>
      </w:r>
      <w:r>
        <w:t xml:space="preserve">, 11:00 AM ET/5:00 PM </w:t>
      </w:r>
      <w:r>
        <w:t xml:space="preserve">CET </w:t>
      </w:r>
    </w:p>
    <w:p w14:paraId="29B2D869" w14:textId="30E40C50" w:rsidR="00CD2B64" w:rsidRDefault="00C5614D" w:rsidP="00C5614D">
      <w:pPr>
        <w:spacing w:after="217"/>
      </w:pPr>
      <w:r>
        <w:t xml:space="preserve">Homework 2: due Monday, April 27, </w:t>
      </w:r>
      <w:r>
        <w:t xml:space="preserve">12:00 PM </w:t>
      </w:r>
      <w:r>
        <w:t xml:space="preserve">ET/6:00 PM CET </w:t>
      </w:r>
    </w:p>
    <w:p w14:paraId="4D250F42" w14:textId="77777777" w:rsidR="00CD2B64" w:rsidRDefault="00C5614D">
      <w:pPr>
        <w:spacing w:after="1" w:line="259" w:lineRule="auto"/>
        <w:ind w:left="19"/>
        <w:jc w:val="left"/>
      </w:pPr>
      <w:r>
        <w:rPr>
          <w:b/>
        </w:rPr>
        <w:t xml:space="preserve">Required Readings: </w:t>
      </w:r>
      <w:r>
        <w:t xml:space="preserve"> </w:t>
      </w:r>
    </w:p>
    <w:p w14:paraId="21C72C06" w14:textId="77777777" w:rsidR="00CD2B64" w:rsidRDefault="00C5614D">
      <w:pPr>
        <w:spacing w:after="688"/>
      </w:pPr>
      <w:r>
        <w:t xml:space="preserve">Textbook; Chapter 6; Sections 13.5.3 – 13.8  </w:t>
      </w:r>
    </w:p>
    <w:p w14:paraId="70F09BDF" w14:textId="77777777" w:rsidR="00CD2B64" w:rsidRDefault="00C5614D">
      <w:pPr>
        <w:spacing w:after="544" w:line="259" w:lineRule="auto"/>
        <w:ind w:left="5" w:firstLine="0"/>
        <w:jc w:val="left"/>
      </w:pPr>
      <w:r>
        <w:rPr>
          <w:b/>
          <w:color w:val="FFFFFF"/>
          <w:shd w:val="clear" w:color="auto" w:fill="43729E"/>
        </w:rPr>
        <w:t xml:space="preserve">Week 3: Calibration and Other Uses of Auxiliary Data in Weighting  </w:t>
      </w:r>
    </w:p>
    <w:p w14:paraId="5998B4F8" w14:textId="372F21C5" w:rsidR="00CD2B64" w:rsidRDefault="00C5614D">
      <w:pPr>
        <w:spacing w:after="217"/>
      </w:pPr>
      <w:r>
        <w:t>Video lecture: available: Friday, April 24,</w:t>
      </w:r>
      <w:r>
        <w:t>11:00 AM ET/5:00 PM</w:t>
      </w:r>
      <w:r>
        <w:t xml:space="preserve"> </w:t>
      </w:r>
    </w:p>
    <w:p w14:paraId="362D4FEF" w14:textId="3DC4B9B3" w:rsidR="00C5614D" w:rsidRDefault="00C5614D" w:rsidP="00C5614D">
      <w:pPr>
        <w:spacing w:after="217"/>
      </w:pPr>
      <w:r>
        <w:t>Online meeting: Friday, May 1</w:t>
      </w:r>
      <w:r>
        <w:t xml:space="preserve">, 11:00 AM ET/5:00 PM </w:t>
      </w:r>
      <w:r>
        <w:t xml:space="preserve">CET </w:t>
      </w:r>
    </w:p>
    <w:p w14:paraId="7E61525E" w14:textId="2396105A" w:rsidR="00CD2B64" w:rsidRDefault="00C5614D" w:rsidP="00C5614D">
      <w:pPr>
        <w:spacing w:after="217"/>
      </w:pPr>
      <w:r>
        <w:t>Homework 3: due Monday, May 4</w:t>
      </w:r>
      <w:r>
        <w:t xml:space="preserve">, 12:00 PM </w:t>
      </w:r>
      <w:r>
        <w:t xml:space="preserve">ET/6:00 PM CET  </w:t>
      </w:r>
    </w:p>
    <w:p w14:paraId="76A1E2F8" w14:textId="77777777" w:rsidR="00CD2B64" w:rsidRDefault="00C5614D">
      <w:pPr>
        <w:spacing w:after="1" w:line="259" w:lineRule="auto"/>
        <w:ind w:left="19"/>
        <w:jc w:val="left"/>
      </w:pPr>
      <w:r>
        <w:rPr>
          <w:b/>
        </w:rPr>
        <w:t xml:space="preserve">Required Readings: </w:t>
      </w:r>
      <w:r>
        <w:t xml:space="preserve"> </w:t>
      </w:r>
    </w:p>
    <w:p w14:paraId="3B8D49FE" w14:textId="77777777" w:rsidR="00CD2B64" w:rsidRDefault="00C5614D">
      <w:pPr>
        <w:spacing w:after="436"/>
      </w:pPr>
      <w:r>
        <w:t xml:space="preserve">Textbook; Chapter 6; Sections 14.1 – 14.3  </w:t>
      </w:r>
    </w:p>
    <w:p w14:paraId="365C5F87" w14:textId="77777777" w:rsidR="00CD2B64" w:rsidRDefault="00C5614D">
      <w:pPr>
        <w:pStyle w:val="Heading1"/>
        <w:ind w:left="19"/>
      </w:pPr>
      <w:r>
        <w:t xml:space="preserve">Week 4: Calibration (continued) and Replicate Weights  </w:t>
      </w:r>
    </w:p>
    <w:p w14:paraId="10C9981C" w14:textId="1A0E7CBD" w:rsidR="00CD2B64" w:rsidRDefault="00C5614D">
      <w:pPr>
        <w:spacing w:after="402"/>
      </w:pPr>
      <w:r>
        <w:t>Video lecture: available: Friday, May 1,</w:t>
      </w:r>
      <w:r>
        <w:t>11:00 AM ET/5:00 PM</w:t>
      </w:r>
    </w:p>
    <w:p w14:paraId="5FAFE4FD" w14:textId="279C5B6B" w:rsidR="00CD2B64" w:rsidRDefault="00C5614D" w:rsidP="00C5614D">
      <w:pPr>
        <w:spacing w:after="6"/>
      </w:pPr>
      <w:r>
        <w:t>Online meeting: Friday, May 8</w:t>
      </w:r>
      <w:r>
        <w:t xml:space="preserve">, 11:00 AM ET/5:00 PM </w:t>
      </w:r>
      <w:r>
        <w:t xml:space="preserve">CET   </w:t>
      </w:r>
    </w:p>
    <w:p w14:paraId="2227C251" w14:textId="3041CDD9" w:rsidR="00CD2B64" w:rsidRDefault="00C5614D" w:rsidP="00C5614D">
      <w:pPr>
        <w:spacing w:after="6"/>
      </w:pPr>
      <w:r>
        <w:t>Homework 3: due Monday, May 11</w:t>
      </w:r>
      <w:r>
        <w:t xml:space="preserve">, 12:00 PM ET/6:00 </w:t>
      </w:r>
      <w:r>
        <w:t xml:space="preserve">PM CET   </w:t>
      </w:r>
    </w:p>
    <w:p w14:paraId="22BE80C2" w14:textId="77777777" w:rsidR="00C5614D" w:rsidRDefault="00C5614D" w:rsidP="00C5614D">
      <w:pPr>
        <w:spacing w:after="6"/>
      </w:pPr>
    </w:p>
    <w:p w14:paraId="0C987D86" w14:textId="77777777" w:rsidR="00CD2B64" w:rsidRDefault="00C5614D">
      <w:pPr>
        <w:spacing w:after="1" w:line="259" w:lineRule="auto"/>
        <w:ind w:left="19"/>
        <w:jc w:val="left"/>
      </w:pPr>
      <w:r>
        <w:rPr>
          <w:b/>
        </w:rPr>
        <w:lastRenderedPageBreak/>
        <w:t xml:space="preserve">Required Readings: </w:t>
      </w:r>
      <w:r>
        <w:t xml:space="preserve"> </w:t>
      </w:r>
    </w:p>
    <w:p w14:paraId="51143B7F" w14:textId="77777777" w:rsidR="00CD2B64" w:rsidRDefault="00C5614D">
      <w:pPr>
        <w:spacing w:after="0"/>
      </w:pPr>
      <w:r>
        <w:t xml:space="preserve">Textbook; Chapter 6; Sections 14.4 – 14.5 &amp; Section 15.4 (review 15.1 – </w:t>
      </w:r>
    </w:p>
    <w:p w14:paraId="103B4B5C" w14:textId="77777777" w:rsidR="00CD2B64" w:rsidRDefault="00C5614D">
      <w:pPr>
        <w:spacing w:after="729"/>
      </w:pPr>
      <w:r>
        <w:t xml:space="preserve">15.3, if needed)  </w:t>
      </w:r>
    </w:p>
    <w:p w14:paraId="4DC6C231" w14:textId="77777777" w:rsidR="00CD2B64" w:rsidRDefault="00C5614D">
      <w:pPr>
        <w:pStyle w:val="Heading1"/>
        <w:ind w:left="19"/>
      </w:pPr>
      <w:r>
        <w:t xml:space="preserve">Final Exam  </w:t>
      </w:r>
    </w:p>
    <w:p w14:paraId="7D4BA146" w14:textId="5DE451EC" w:rsidR="00CD2B64" w:rsidRDefault="00C5614D" w:rsidP="00C5614D">
      <w:r>
        <w:t>Due: Friday, May</w:t>
      </w:r>
      <w:r>
        <w:t xml:space="preserve"> 15, 12:00 PM ET/6:00 PM CET</w:t>
      </w:r>
    </w:p>
    <w:sectPr w:rsidR="00CD2B64">
      <w:footerReference w:type="even" r:id="rId42"/>
      <w:footerReference w:type="default" r:id="rId43"/>
      <w:footerReference w:type="first" r:id="rId44"/>
      <w:pgSz w:w="11906" w:h="16838"/>
      <w:pgMar w:top="1508" w:right="1409" w:bottom="956" w:left="1397" w:header="72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26717" w14:textId="77777777" w:rsidR="00C5614D" w:rsidRDefault="00C5614D">
      <w:pPr>
        <w:spacing w:after="0" w:line="240" w:lineRule="auto"/>
      </w:pPr>
      <w:r>
        <w:separator/>
      </w:r>
    </w:p>
  </w:endnote>
  <w:endnote w:type="continuationSeparator" w:id="0">
    <w:p w14:paraId="3EEDC28F" w14:textId="77777777" w:rsidR="00C5614D" w:rsidRDefault="00C5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EC8E" w14:textId="77777777" w:rsidR="00CD2B64" w:rsidRDefault="00C5614D">
    <w:pPr>
      <w:tabs>
        <w:tab w:val="right" w:pos="9096"/>
      </w:tabs>
      <w:spacing w:after="0" w:line="259" w:lineRule="auto"/>
      <w:ind w:left="0" w:firstLine="0"/>
      <w:jc w:val="left"/>
    </w:pPr>
    <w:r>
      <w:rPr>
        <w:sz w:val="20"/>
      </w:rPr>
      <w:t xml:space="preserve">SURV 750 Step by Step in Survey Weighting | Spring 2024 | Sec. 1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004E" w14:textId="27899638" w:rsidR="00CD2B64" w:rsidRDefault="00C5614D">
    <w:pPr>
      <w:tabs>
        <w:tab w:val="right" w:pos="9096"/>
      </w:tabs>
      <w:spacing w:after="0" w:line="259" w:lineRule="auto"/>
      <w:ind w:left="0" w:firstLine="0"/>
      <w:jc w:val="left"/>
    </w:pPr>
    <w:r>
      <w:rPr>
        <w:sz w:val="20"/>
      </w:rPr>
      <w:t>SURV 750 Step by Step in Survey Weighting | Spring 2026</w:t>
    </w:r>
    <w:r>
      <w:rPr>
        <w:sz w:val="20"/>
      </w:rPr>
      <w:t xml:space="preserve"> | Sec. 1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DD96" w14:textId="77777777" w:rsidR="00CD2B64" w:rsidRDefault="00C5614D">
    <w:pPr>
      <w:tabs>
        <w:tab w:val="right" w:pos="9096"/>
      </w:tabs>
      <w:spacing w:after="0" w:line="259" w:lineRule="auto"/>
      <w:ind w:left="0" w:firstLine="0"/>
      <w:jc w:val="left"/>
    </w:pPr>
    <w:r>
      <w:rPr>
        <w:sz w:val="20"/>
      </w:rPr>
      <w:t xml:space="preserve">SURV 750 Step by Step in Survey Weighting | Spring 2024 | Sec. 1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9685" w14:textId="77777777" w:rsidR="00CD2B64" w:rsidRDefault="00C5614D">
    <w:pPr>
      <w:spacing w:after="0" w:line="259" w:lineRule="auto"/>
      <w:ind w:left="0" w:right="4" w:firstLine="0"/>
      <w:jc w:val="right"/>
    </w:pPr>
    <w:r>
      <w:fldChar w:fldCharType="begin"/>
    </w:r>
    <w:r>
      <w:instrText xml:space="preserve"> PAGE   \* MERGEFORMAT </w:instrText>
    </w:r>
    <w:r>
      <w:fldChar w:fldCharType="separate"/>
    </w:r>
    <w:r>
      <w:rPr>
        <w:sz w:val="20"/>
      </w:rPr>
      <w:t>4</w:t>
    </w:r>
    <w:r>
      <w:rPr>
        <w:sz w:val="20"/>
      </w:rPr>
      <w:fldChar w:fldCharType="end"/>
    </w:r>
    <w:r>
      <w:rPr>
        <w:sz w:val="20"/>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37E1" w14:textId="77777777" w:rsidR="00CD2B64" w:rsidRDefault="00C5614D">
    <w:pPr>
      <w:spacing w:after="0" w:line="259" w:lineRule="auto"/>
      <w:ind w:left="0" w:right="4" w:firstLine="0"/>
      <w:jc w:val="right"/>
    </w:pPr>
    <w:r>
      <w:fldChar w:fldCharType="begin"/>
    </w:r>
    <w:r>
      <w:instrText xml:space="preserve"> PAGE   \* MERGEFORMAT </w:instrText>
    </w:r>
    <w:r>
      <w:fldChar w:fldCharType="separate"/>
    </w:r>
    <w:r>
      <w:rPr>
        <w:sz w:val="20"/>
      </w:rPr>
      <w:t>4</w:t>
    </w:r>
    <w:r>
      <w:rPr>
        <w:sz w:val="20"/>
      </w:rPr>
      <w:fldChar w:fldCharType="end"/>
    </w:r>
    <w:r>
      <w:rPr>
        <w:sz w:val="20"/>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2006" w14:textId="77777777" w:rsidR="00CD2B64" w:rsidRDefault="00C5614D">
    <w:pPr>
      <w:spacing w:after="0" w:line="259" w:lineRule="auto"/>
      <w:ind w:left="0" w:right="4" w:firstLine="0"/>
      <w:jc w:val="right"/>
    </w:pPr>
    <w:r>
      <w:fldChar w:fldCharType="begin"/>
    </w:r>
    <w:r>
      <w:instrText xml:space="preserve"> PAGE   \* MERGEFORMAT </w:instrText>
    </w:r>
    <w:r>
      <w:fldChar w:fldCharType="separate"/>
    </w:r>
    <w:r>
      <w:rPr>
        <w:sz w:val="20"/>
      </w:rPr>
      <w:t>4</w:t>
    </w:r>
    <w:r>
      <w:rPr>
        <w:sz w:val="20"/>
      </w:rPr>
      <w:fldChar w:fldCharType="end"/>
    </w: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3EA78" w14:textId="77777777" w:rsidR="00C5614D" w:rsidRDefault="00C5614D">
      <w:pPr>
        <w:spacing w:after="0" w:line="240" w:lineRule="auto"/>
      </w:pPr>
      <w:r>
        <w:separator/>
      </w:r>
    </w:p>
  </w:footnote>
  <w:footnote w:type="continuationSeparator" w:id="0">
    <w:p w14:paraId="06334EAF" w14:textId="77777777" w:rsidR="00C5614D" w:rsidRDefault="00C56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74593"/>
    <w:multiLevelType w:val="hybridMultilevel"/>
    <w:tmpl w:val="9D3A2E68"/>
    <w:lvl w:ilvl="0" w:tplc="A7A8467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F270BA">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924F24">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26A78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683186">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EC7738">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03E0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4C0D2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92376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B7C178C"/>
    <w:multiLevelType w:val="hybridMultilevel"/>
    <w:tmpl w:val="3BDE2B4C"/>
    <w:lvl w:ilvl="0" w:tplc="775465DC">
      <w:start w:val="1"/>
      <w:numFmt w:val="decimal"/>
      <w:lvlText w:val="%1"/>
      <w:lvlJc w:val="left"/>
      <w:pPr>
        <w:ind w:left="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549850">
      <w:start w:val="1"/>
      <w:numFmt w:val="lowerLetter"/>
      <w:lvlText w:val="%2"/>
      <w:lvlJc w:val="left"/>
      <w:pPr>
        <w:ind w:left="1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4054AA">
      <w:start w:val="1"/>
      <w:numFmt w:val="lowerRoman"/>
      <w:lvlText w:val="%3"/>
      <w:lvlJc w:val="left"/>
      <w:pPr>
        <w:ind w:left="1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2B218">
      <w:start w:val="1"/>
      <w:numFmt w:val="decimal"/>
      <w:lvlText w:val="%4"/>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24EE2E">
      <w:start w:val="1"/>
      <w:numFmt w:val="lowerLetter"/>
      <w:lvlText w:val="%5"/>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B22D92">
      <w:start w:val="1"/>
      <w:numFmt w:val="lowerRoman"/>
      <w:lvlText w:val="%6"/>
      <w:lvlJc w:val="left"/>
      <w:pPr>
        <w:ind w:left="3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765A1C">
      <w:start w:val="1"/>
      <w:numFmt w:val="decimal"/>
      <w:lvlText w:val="%7"/>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0881E2">
      <w:start w:val="1"/>
      <w:numFmt w:val="lowerLetter"/>
      <w:lvlText w:val="%8"/>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F8B108">
      <w:start w:val="1"/>
      <w:numFmt w:val="lowerRoman"/>
      <w:lvlText w:val="%9"/>
      <w:lvlJc w:val="left"/>
      <w:pPr>
        <w:ind w:left="6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EC6BEC"/>
    <w:multiLevelType w:val="hybridMultilevel"/>
    <w:tmpl w:val="63A4267A"/>
    <w:lvl w:ilvl="0" w:tplc="6F50EE6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A0D3E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201BA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C699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4A5B9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AC057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ECE6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82FA2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225B8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47769045">
    <w:abstractNumId w:val="2"/>
  </w:num>
  <w:num w:numId="2" w16cid:durableId="745346206">
    <w:abstractNumId w:val="0"/>
  </w:num>
  <w:num w:numId="3" w16cid:durableId="1312756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B64"/>
    <w:rsid w:val="007F510F"/>
    <w:rsid w:val="00C5614D"/>
    <w:rsid w:val="00CD2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DA59"/>
  <w15:docId w15:val="{97BD1A18-C449-4C5E-B598-131FE266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4" w:line="260" w:lineRule="auto"/>
      <w:ind w:left="29" w:hanging="10"/>
      <w:jc w:val="both"/>
    </w:pPr>
    <w:rPr>
      <w:rFonts w:ascii="Arial" w:eastAsia="Arial" w:hAnsi="Arial" w:cs="Arial"/>
      <w:color w:val="000000"/>
    </w:rPr>
  </w:style>
  <w:style w:type="paragraph" w:styleId="Heading1">
    <w:name w:val="heading 1"/>
    <w:next w:val="Normal"/>
    <w:link w:val="Heading1Char"/>
    <w:uiPriority w:val="9"/>
    <w:qFormat/>
    <w:pPr>
      <w:keepNext/>
      <w:keepLines/>
      <w:shd w:val="clear" w:color="auto" w:fill="43729E"/>
      <w:spacing w:after="248" w:line="265" w:lineRule="auto"/>
      <w:ind w:left="16" w:hanging="10"/>
      <w:outlineLvl w:val="0"/>
    </w:pPr>
    <w:rPr>
      <w:rFonts w:ascii="Arial" w:eastAsia="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4"/>
    </w:rPr>
  </w:style>
  <w:style w:type="paragraph" w:styleId="Header">
    <w:name w:val="header"/>
    <w:basedOn w:val="Normal"/>
    <w:link w:val="HeaderChar"/>
    <w:uiPriority w:val="99"/>
    <w:unhideWhenUsed/>
    <w:rsid w:val="00C56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14D"/>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cran.r-project.org/" TargetMode="External"/><Relationship Id="rId18" Type="http://schemas.openxmlformats.org/officeDocument/2006/relationships/hyperlink" Target="https://www.rstudio.com/" TargetMode="External"/><Relationship Id="rId26" Type="http://schemas.openxmlformats.org/officeDocument/2006/relationships/hyperlink" Target="https://www.president.umd.edu/sites/president.umd.edu/files/documents/policies/III-100A.pdf" TargetMode="External"/><Relationship Id="rId39" Type="http://schemas.openxmlformats.org/officeDocument/2006/relationships/hyperlink" Target="https://policies.umd.edu/academic-affairs/university-of-maryland-code-of-academic-integrity" TargetMode="External"/><Relationship Id="rId21" Type="http://schemas.openxmlformats.org/officeDocument/2006/relationships/hyperlink" Target="https://www.youtube.com/playlist?list=PLqzoL9-eJTNBDdKgJgJzaQcY6OXmsXAHU" TargetMode="External"/><Relationship Id="rId34" Type="http://schemas.openxmlformats.org/officeDocument/2006/relationships/hyperlink" Target="https://lib.guides.umd.edu/c.php?g=1340355&amp;p=9896961"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studio.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an.r-project.org/" TargetMode="External"/><Relationship Id="rId24" Type="http://schemas.openxmlformats.org/officeDocument/2006/relationships/hyperlink" Target="https://www.president.umd.edu/sites/president.umd.edu/files/documents/policies/III-100A.pdf" TargetMode="External"/><Relationship Id="rId32" Type="http://schemas.openxmlformats.org/officeDocument/2006/relationships/hyperlink" Target="https://lib.guides.umd.edu/c.php?g=1340355&amp;p=9896961" TargetMode="External"/><Relationship Id="rId37" Type="http://schemas.openxmlformats.org/officeDocument/2006/relationships/hyperlink" Target="https://lib.guides.umd.edu/c.php?g=1340355&amp;p=9896961" TargetMode="External"/><Relationship Id="rId40" Type="http://schemas.openxmlformats.org/officeDocument/2006/relationships/hyperlink" Target="https://policies.umd.edu/academic-affairs/university-of-maryland-code-of-academic-integrity"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ran.r-project.org/" TargetMode="External"/><Relationship Id="rId23" Type="http://schemas.openxmlformats.org/officeDocument/2006/relationships/hyperlink" Target="https://www.youtube.com/playlist?list=PLqzoL9-eJTNBDdKgJgJzaQcY6OXmsXAHU" TargetMode="External"/><Relationship Id="rId28" Type="http://schemas.openxmlformats.org/officeDocument/2006/relationships/hyperlink" Target="https://www.uni-mannheim.de/en/research/good-research-practice/" TargetMode="External"/><Relationship Id="rId36" Type="http://schemas.openxmlformats.org/officeDocument/2006/relationships/hyperlink" Target="https://lib.guides.umd.edu/c.php?g=1340355&amp;p=9896961" TargetMode="External"/><Relationship Id="rId10" Type="http://schemas.openxmlformats.org/officeDocument/2006/relationships/hyperlink" Target="http://mannheim.instructure.com/" TargetMode="External"/><Relationship Id="rId19" Type="http://schemas.openxmlformats.org/officeDocument/2006/relationships/hyperlink" Target="https://www.youtube.com/playlist?list=PLqzoL9-eJTNBDdKgJgJzaQcY6OXmsXAHU" TargetMode="External"/><Relationship Id="rId31" Type="http://schemas.openxmlformats.org/officeDocument/2006/relationships/footer" Target="footer3.xm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mannheim.instructure.com/" TargetMode="External"/><Relationship Id="rId14" Type="http://schemas.openxmlformats.org/officeDocument/2006/relationships/hyperlink" Target="http://cran.r-project.org/" TargetMode="External"/><Relationship Id="rId22" Type="http://schemas.openxmlformats.org/officeDocument/2006/relationships/hyperlink" Target="https://www.youtube.com/playlist?list=PLqzoL9-eJTNBDdKgJgJzaQcY6OXmsXAHU" TargetMode="External"/><Relationship Id="rId27" Type="http://schemas.openxmlformats.org/officeDocument/2006/relationships/hyperlink" Target="https://www.president.umd.edu/sites/president.umd.edu/files/documents/policies/III-100A.pdf" TargetMode="External"/><Relationship Id="rId30" Type="http://schemas.openxmlformats.org/officeDocument/2006/relationships/footer" Target="footer2.xml"/><Relationship Id="rId35" Type="http://schemas.openxmlformats.org/officeDocument/2006/relationships/hyperlink" Target="https://lib.guides.umd.edu/c.php?g=1340355&amp;p=9896961" TargetMode="External"/><Relationship Id="rId43" Type="http://schemas.openxmlformats.org/officeDocument/2006/relationships/footer" Target="footer5.xml"/><Relationship Id="rId8" Type="http://schemas.openxmlformats.org/officeDocument/2006/relationships/hyperlink" Target="http://mannheim.instructure.com/" TargetMode="External"/><Relationship Id="rId3" Type="http://schemas.openxmlformats.org/officeDocument/2006/relationships/styles" Target="styles.xml"/><Relationship Id="rId12" Type="http://schemas.openxmlformats.org/officeDocument/2006/relationships/hyperlink" Target="http://cran.r-project.org/" TargetMode="External"/><Relationship Id="rId17" Type="http://schemas.openxmlformats.org/officeDocument/2006/relationships/hyperlink" Target="https://www.rstudio.com/" TargetMode="External"/><Relationship Id="rId25" Type="http://schemas.openxmlformats.org/officeDocument/2006/relationships/hyperlink" Target="https://www.president.umd.edu/sites/president.umd.edu/files/documents/policies/III-100A.pdf" TargetMode="External"/><Relationship Id="rId33" Type="http://schemas.openxmlformats.org/officeDocument/2006/relationships/hyperlink" Target="https://lib.guides.umd.edu/c.php?g=1340355&amp;p=9896961" TargetMode="External"/><Relationship Id="rId38" Type="http://schemas.openxmlformats.org/officeDocument/2006/relationships/hyperlink" Target="https://policies.umd.edu/academic-affairs/university-of-maryland-code-of-academic-integrity" TargetMode="External"/><Relationship Id="rId46" Type="http://schemas.openxmlformats.org/officeDocument/2006/relationships/theme" Target="theme/theme1.xml"/><Relationship Id="rId20" Type="http://schemas.openxmlformats.org/officeDocument/2006/relationships/hyperlink" Target="https://www.youtube.com/playlist?list=PLqzoL9-eJTNBDdKgJgJzaQcY6OXmsXAHU" TargetMode="External"/><Relationship Id="rId41" Type="http://schemas.openxmlformats.org/officeDocument/2006/relationships/hyperlink" Target="https://policies.umd.edu/academic-affairs/university-of-maryland-code-of-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63D49-2005-4E9C-9811-A941BE67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1983</Words>
  <Characters>11306</Characters>
  <Application>Microsoft Office Word</Application>
  <DocSecurity>0</DocSecurity>
  <Lines>94</Lines>
  <Paragraphs>26</Paragraphs>
  <ScaleCrop>false</ScaleCrop>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Spranz</dc:creator>
  <cp:keywords/>
  <cp:lastModifiedBy>Cydnee M Cooper</cp:lastModifiedBy>
  <cp:revision>2</cp:revision>
  <dcterms:created xsi:type="dcterms:W3CDTF">2025-10-20T19:50:00Z</dcterms:created>
  <dcterms:modified xsi:type="dcterms:W3CDTF">2025-10-20T19:50:00Z</dcterms:modified>
</cp:coreProperties>
</file>